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9" w:rsidRPr="0007159C" w:rsidRDefault="00F43289" w:rsidP="00F4328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43289" w:rsidRDefault="00607109" w:rsidP="00F4328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итогах </w:t>
      </w:r>
      <w:r w:rsidR="00F43289" w:rsidRPr="0007159C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VII</w:t>
      </w:r>
      <w:r w:rsidR="00F43289"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="00F43289"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городов России</w:t>
      </w:r>
      <w:r w:rsidR="00F4328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F43289"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«Город детей – город семей»</w:t>
      </w:r>
    </w:p>
    <w:p w:rsidR="00F43289" w:rsidRPr="0007159C" w:rsidRDefault="00F43289" w:rsidP="00F4328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Ежегодно с 2010 года Фонд поддержки детей, находящихся в трудной жизненной ситуации, совместно с Ассоциацией малых и средних городов России с целью включения муниципальных образований в работу с семьями и детьми, находящимися в трудной жизненной ситуации, организует конкурсы городов.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ежегодного конкурса городов России, доброжелательных к детям, находящимся в трудной жизненной ситуации,  входит в План первоочередных мероприятий по реализации Национальной стратегии действий в интересах детей на 2012-2017 годы. Ответственными исполнителями данного мероприятия определены Минтруд России и Фонд поддержки детей, находящихся в трудной жизненной ситуации.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 семь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лет проведения конкурсов более 5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00 городов стали его участниками.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2016 году конкурс прошел под названием «Город детей – город семей».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Цель конкурса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071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Задачи конкурса: </w:t>
      </w:r>
    </w:p>
    <w:p w:rsidR="00A704B0" w:rsidRPr="0007159C" w:rsidRDefault="00A704B0" w:rsidP="00A704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9C">
        <w:rPr>
          <w:rFonts w:ascii="Times New Roman" w:eastAsia="Times New Roman" w:hAnsi="Times New Roman" w:cs="Times New Roman"/>
          <w:sz w:val="28"/>
          <w:szCs w:val="28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улучшению условий воспитания детей, профилактике детского неблагополучия;</w:t>
      </w:r>
    </w:p>
    <w:p w:rsidR="00A704B0" w:rsidRPr="0007159C" w:rsidRDefault="00A704B0" w:rsidP="00A704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9C">
        <w:rPr>
          <w:rFonts w:ascii="Times New Roman" w:eastAsia="Times New Roman" w:hAnsi="Times New Roman" w:cs="Times New Roman"/>
          <w:sz w:val="28"/>
          <w:szCs w:val="28"/>
        </w:rPr>
        <w:t>содействие успешному семейному воспитанию детей;</w:t>
      </w:r>
    </w:p>
    <w:p w:rsidR="00A704B0" w:rsidRPr="0007159C" w:rsidRDefault="00A704B0" w:rsidP="00A704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9C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граждан к семейным и родительским обязанностям.</w:t>
      </w:r>
    </w:p>
    <w:p w:rsidR="00A704B0" w:rsidRPr="0007159C" w:rsidRDefault="00A704B0" w:rsidP="00A704B0">
      <w:pPr>
        <w:shd w:val="clear" w:color="auto" w:fill="FFFFFF"/>
        <w:spacing w:after="240" w:line="270" w:lineRule="atLeast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4B0" w:rsidRPr="0007159C" w:rsidRDefault="00A704B0" w:rsidP="00A704B0">
      <w:pPr>
        <w:shd w:val="clear" w:color="auto" w:fill="FFFFFF"/>
        <w:spacing w:after="240" w:line="270" w:lineRule="atLeast"/>
        <w:ind w:firstLine="709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15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География участников конкурса «Город детей – город семей» охватывает 59 субъектов Российской Федерации. Участниками</w:t>
      </w:r>
      <w:r w:rsidRPr="0007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«Город детей – город семей» в 2016 году стали 176 городов, в том числе: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Центральный федеральный округ - 55 городов;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Уральский федеральный округ - 20 городов;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Приволжский федеральный округ - 34 города;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Северо-Западный федеральный округ - 15 городов;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Сибирский федеральный округ - 23 города;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Южный федеральный округ - 13 городов;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Дальневосточный федеральный округ - 6 городов;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Северо-Кавказский федеральный округ - 8 городов;</w:t>
      </w:r>
    </w:p>
    <w:p w:rsidR="00A704B0" w:rsidRPr="0007159C" w:rsidRDefault="00A704B0" w:rsidP="00A704B0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Крымский федеральный округ – 2 города (в июле 2016 г. Крымский федеральный округ вошел в состав Южного федерального округа).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Участники Конкурса были разделены на 4 группы: административные центры субъектов Российской Федерации - 19 городов,  30 городов с населением с населением более 100 тысяч человек, 82 города с населением от 20 тысяч до 100 тысяч человек и 45 городов, в которых проживает меньше 20 тысяч человек.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Впервые в Конкурсе приняли участие города Республики Крым.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Лидером по количеству городов-участников конкурса стала Белгородская область (11 участников).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материалы представили 117 городов. 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>В рамках конкурса «Город детей – город семей» участникам было предложено выполнить три конкурсных задания:</w:t>
      </w:r>
    </w:p>
    <w:p w:rsidR="00A704B0" w:rsidRPr="0007159C" w:rsidRDefault="00A704B0" w:rsidP="00A70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>1. Создание площадок для  познавательного досуга детей и семей с детьми, в том числе на базе библиотек.</w:t>
      </w:r>
    </w:p>
    <w:p w:rsidR="00A704B0" w:rsidRPr="0007159C" w:rsidRDefault="00A704B0" w:rsidP="00A70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>2. Развитие различных форм семейной взаимопомощи. Организация сбора и распространения информации о потребностях семей с детьми, попавших в трудную жизненную ситуацию, и содействие в привлечении жителей города к оказанию помощи в ее преодолении.</w:t>
      </w:r>
    </w:p>
    <w:p w:rsidR="00A704B0" w:rsidRPr="0007159C" w:rsidRDefault="00A704B0" w:rsidP="00A70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>3. Составление, издание и распространение расписания мероприятий для детей и подростков в дни летних каникул.</w:t>
      </w:r>
    </w:p>
    <w:p w:rsidR="00A704B0" w:rsidRPr="0007159C" w:rsidRDefault="00A704B0" w:rsidP="00A70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>В результате выполнения заданий были найдены различные интересные решения и профилактики проблем семейного и детского неблагополучия.  Материалы о результатах их выполнения публиковались в течение года на сайте «Я – родитель». Таким образом, еще в процессе реализации конкурсных мероприятий у участников была возможность ознакомиться с передовым опытом коллег.</w:t>
      </w:r>
    </w:p>
    <w:p w:rsidR="00A704B0" w:rsidRPr="0007159C" w:rsidRDefault="00A704B0" w:rsidP="00A70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летних каникул в городах-участниках проводилась акция «А у нас во дворе» с целью организации по месту жительства досуга детей, проводящих летние каникулы в городе. Интересные игры и увлекательные занятия пришли в каждый двор, в которых проводилась акция. Мероприятие получило позитивный отклик горожан. В большинстве  городов подобная деятельность станет ежегодной.  </w:t>
      </w:r>
    </w:p>
    <w:p w:rsidR="00A704B0" w:rsidRPr="0007159C" w:rsidRDefault="00A704B0" w:rsidP="00A704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 xml:space="preserve">Материалы о проведении акции опубликованы на сайте «Я – Родитель». К определению города, наиболее успешно представившего результаты, в качестве экспертов были привлечены юные корреспонденты Творческого объединения «ЮНПРЕСС».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9C">
        <w:rPr>
          <w:rFonts w:ascii="Times New Roman" w:eastAsia="Calibri" w:hAnsi="Times New Roman" w:cs="Times New Roman"/>
          <w:sz w:val="28"/>
          <w:szCs w:val="28"/>
        </w:rPr>
        <w:t>С 2012 года Фондом проводятся ежегодные Всероссийские встречи участников конкурсов городов России. В 2016 году такая встреча состоялась в городе Архангельске, многолетнем успешном лидере конкурсов городов. Участники встречи обменялись опытом внедрения муниципалитетами инновационных подходов к решению проблем семейного и детского неблагополучия,  ознакомились с эффективными практиками работы с детьми, находящимися в трудной жизненной ситуации, в организациях и учреждениях г. Архангельска.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04B0" w:rsidRPr="0007159C" w:rsidRDefault="00A704B0" w:rsidP="00A704B0">
      <w:pPr>
        <w:shd w:val="clear" w:color="auto" w:fill="FFFFFF"/>
        <w:spacing w:after="0" w:line="380" w:lineRule="exact"/>
        <w:ind w:left="1211" w:hanging="50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9C">
        <w:rPr>
          <w:rFonts w:ascii="Times New Roman" w:eastAsia="Times New Roman" w:hAnsi="Times New Roman" w:cs="Times New Roman"/>
          <w:b/>
          <w:sz w:val="28"/>
          <w:szCs w:val="28"/>
        </w:rPr>
        <w:t>Итоги конкурса</w:t>
      </w:r>
    </w:p>
    <w:p w:rsidR="00A704B0" w:rsidRPr="0007159C" w:rsidRDefault="00A704B0" w:rsidP="00A704B0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Представленные конкурсные материалы свидетельствуют, что в 2016 году среди всех направлений конкурса «Город детей – город семей» наибольшее внимание уделялось работе с семьями по профилактике кризиса и выходу из трудной жизненной ситуации, различным аспектам семейного устройства детей-сирот и детей, оставшихся без попечения родителей, а также поддержке семей, воспитывающих детей с ограниченными возможностями здоровья и детей-инвалидов.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Проводилась активная работа по расширению доступа граждан к информации о детях-сиротах и детях, оставшихся без попечения родителей. Много ресурсов направлялось на подготовку и поддержку замещающих семей, популяризацию семейного устройства детей-сирот.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 многих городах усиливается профилактическая составляющая работы с различными группами семей, на предотвращение  наступления кризисных ситуаций. Эта работа включает в себя как пропаганду ненасильственных методов воспитания, информирование широких слоев населения о проблеме внутрисемейного неблагополучия и возможностях ее 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решения, так и упреждающую кризисные ситуации работу с семьями группы риска.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Работа по оказанию помощи семьям с детьми по выходу из трудной жизненной ситуации ведется во всех городах, участвующих в конкурсе.  С этой целью проводятся рейды для выявления семей, нуждающихся в помощи,  им предоставляются необходимые социальные услуги, оказывается материальная помощь, помощь в организации летнего отдыха детей.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Налаживание эффективного межведомственного взаимодействия –  залог успешного решения социальных проблем городов. Во многих городах развивается интеграция всех органов местного управления и служб: выявление и сопровождение семей группы риска все чаще проводится на основе совместной работы органов опеки и попечительства, организаций образования и здравоохранения, учреждений социального обслуживания и культуры, волонтеров. 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Межведомственное взаимодействие во многих городах дополняется активной совместной работой с социально ориентированными некоммерческими организациями в решении таких сложных социальных проблем, как профилактика насилия, работа с семьями в трудной жизненной ситуации, поддержка детей с ограниченными возможностями здоровья, а также взаимодействием с церковью в реализации благотворительных акций в пользу социально незащищенных категорий детей/семей.</w:t>
      </w:r>
      <w:proofErr w:type="gramEnd"/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существенном числе городов – участников конкурса ведется постоянная и многосторонняя работа, направленная на профилактику жестокого обращения с детьми. Просветительская работа ведется, как правило, одновременно и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со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взрослым населением городов – в форме регулярных родительских собраний, так и с детьми – в форме специализированных бесед или классных часов в школе, в рамках которых детям рассказывают об их правах и доступных возможностях выхода из сложных внутрисемейных ситуаций. На решение этой же задачи направлено информирование несовершеннолетних о работе детского телефона доверия и иных служб экстренного реагирования, помощи или консультирования.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Новой темой в отчетах городов-участников Конкурса стала тема профилактики подростковых самоубийств. Так, например, в г. Туле 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разработан и реализуется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План дополнительных мероприятий по профилактике суицидов среди несовершеннолетних на территории г. Тула в 2016-2017 гг.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Несмотря на то, что во многих городах инклюзивное образование является пока еще инновационным подходом, практика интеграции 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«особенных» групп детей и организации совместной активности, пусть только досуговой, постепенно становится обычным принципом работы. По сравнению с 2015 годом гораздо больше досуговых, развивающих и образовательных мероприятий, проводимых в городах-участниках Конкурса, включают детей с ограниченными возможностями в целевую группу наряду со здоровыми сверстниками. Позитивным отличием от программ прошлых лет является то, что в ряде городов затрагиваются «сложные» темы в работе с семьями, имеющими ребенка с ограниченными возможностями здоровья, такие, например, как ментальная инвалидность (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.А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сбест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Продолжает развиваться практика сопровождения выпускников детских домов с использованием наставничества.  Элементы программы наставничества, апробированные в программах помощи детям-сиротам и детям в конфликте с законом, получают распространение в работе с семьями, оказавшимися в трудной жизненной ситуации. Интересен опыт г. Баксана, где к организации наставничества над семьей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привлекаются представители родовых сообществ и в отдельных случаях используется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наставничество над семьёй из числа общественности, т.е. благополучных семей (родителей), способных повлиять на ситуацию.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По сравнению с 2015 годом растет число городов, в которых создаются или уже действуют детские и молодёжные советы на разных уровнях: от учреждений до городского уровня управления.  Но, несмотря на прогресс в реализации концепции детского участия, примеров реального участия детей в принятии решений, касающихся их жизни, немного.  В основном по этому критерию представляется участие детей в концертах, конкурсах и пр. культурно-массовых мероприятиях. Положительный опыт можно отметить в Волгограде, Челябинске, Сызрани, Гае.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Новшеством в проведении Конкурса 2016 года стало активное информационное сопровождение деятельности участников Конкурса с использованием социальных сетей. Возможность для каждого участника создать тематическую страницу своего города в социальной сети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Facebook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позволило не только представить мероприятия, проведенные в рамках Конкурса, но и активизировать работу по информированию граждан о мерах по реализации социальной политики в городе и заложить основы для дальнейшего обмена опытом и информацией между городами.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Включение в критерии конкурсной оценки наличия и контента страницы городов в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Facebook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подвигло участников к выстраиванию более активного присутствия в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целом. Яркими примерами тому являются: медиа-проект «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Вилючинск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город детей», деятельность 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Заречн</w:t>
      </w:r>
      <w:r w:rsidRPr="006D6391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, где в течение 2016 года на сайте МУ ПСЦ «НАДЕЖДА» и официальной странице в социальной сети «Одноклассники» организованы консультации специалистов в рамках работы  «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internet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–помощника».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Заметно расширилась вариативность программ по пропаганде ответственного отцовства и привлечению отцов к решению социальных проблем. Помимо проведения традиционных мероприятий (конкурсов рисунка, фотоконкурсов «Папа за работой», «Папа в объективе» и пр.) во многих городах сформированы Советы отцов, которые активно участвуют в реализации социальной политики в интересах детей.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 Архангельске деятельность городского и территориальных советов отцов направлена на пропаганду положительного отцовства.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Работа осуществляется по трем основным направлениям: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патриотическое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, спортивно-оздоровительное, работа с детьми и семьями, находящимися в трудной жизненной ситуации. В этом году для воспитанников детского дома № 1 отцы провели игры «Зимние забавы», участвовали в  строительстве снежных горок и фигур, судействе в шахматно-шашечном турнире, состязаниях по футболу, катании на коньках и в других мероприятиях городского и регионального масштаба.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 «Совета отцов города Каменск-Шахтинский» по профилактике правонарушений несовершеннолетних – это участие в межведомственных рейдах, наставничество (формирование навыков самостоятельной жизни и нравственных ориентиров трудных подростков – беседы, привлечение к общественной деятельности, организация досуга).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 г. Юрьев-Польский Совет отцов принял активное участие в работе с трудными несовершеннолетними, состоящими на различных видах учета (организовано 10 рейдов в неблагополучные семьи, ежеквартальное участие в Совете по профилактике на базе образовательных организаций, проведение классных часов, направленных на профориентацию несовершеннолетних).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Касимове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Советы отцов успешно работают во всех общеобразовательных учреждениях, помогая школам пропагандировать положительный опыт семейного воспитания, и являясь активной значимой структурой в профилактической работе школы.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Calibri" w:eastAsia="MS Mincho" w:hAnsi="Calibri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Работа с семьями и детьми, находящимися в трудной жизненной ситуации, профилактика семейного неблагополучия, детской беспризорности и жестокого обращения с детьми, формирование и сохранение семейного окружения для воспитания детей становится привычным направлением в деятельности библиотек. Детские библиотеки становятся важной частью социальной инфраструктуры города, ориентированной на детей и 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подростков. Так, в г. Балаково, г. Красноуфимске и других городах с наступлением лета читальный зал библиотеки перемещается на улицу.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 г. Балаково библиотекари включились в работу с детьми, находящимися на лечении в Городской больнице. Успешно продолжается акция «Читайте и выздоравливайте!», начатая центральной библиотекой в 2008 году. Чтобы поддержать больных детей, за 9 месяцев 2016 года библиотекари 4 раза посетили детскую хирургию Городской больницы.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 г. 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Заречный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волонтеры помогают подклеивать книги в Библиотеке семейного чтения и доставляют книги по просьбе читателей с ограниченными возможностями.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г. Клин на базе библиотек с детьми  проводились групповые занятия «Профилактика школьного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Стоп насилию», «Бесконфликтное общение». </w:t>
      </w:r>
    </w:p>
    <w:p w:rsidR="00A704B0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тенденция конкурса – мероприятия семейного характера, ориентированные на совместный детско-родительский досуг, способствующие распространению семейных ценностей и укреплению внутрисемейных связей, занимают все большую долю в структуре мероприятий конкурса.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A7">
        <w:rPr>
          <w:rFonts w:ascii="Times New Roman" w:hAnsi="Times New Roman" w:cs="Times New Roman"/>
          <w:sz w:val="28"/>
          <w:szCs w:val="28"/>
        </w:rPr>
        <w:t>Рассмотрев представленные отчет</w:t>
      </w:r>
      <w:r>
        <w:rPr>
          <w:rFonts w:ascii="Times New Roman" w:hAnsi="Times New Roman" w:cs="Times New Roman"/>
          <w:sz w:val="28"/>
          <w:szCs w:val="28"/>
        </w:rPr>
        <w:t>ные материалы</w:t>
      </w:r>
      <w:r w:rsidRPr="003427A7">
        <w:rPr>
          <w:rFonts w:ascii="Times New Roman" w:hAnsi="Times New Roman" w:cs="Times New Roman"/>
          <w:sz w:val="28"/>
          <w:szCs w:val="28"/>
        </w:rPr>
        <w:t>, к</w:t>
      </w:r>
      <w:r w:rsidRPr="00822A9D">
        <w:rPr>
          <w:rFonts w:ascii="Times New Roman" w:hAnsi="Times New Roman" w:cs="Times New Roman"/>
          <w:sz w:val="28"/>
          <w:szCs w:val="28"/>
        </w:rPr>
        <w:t>онкурсная комиссия определила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A9D">
        <w:rPr>
          <w:rFonts w:ascii="Times New Roman" w:hAnsi="Times New Roman" w:cs="Times New Roman"/>
          <w:sz w:val="28"/>
          <w:szCs w:val="28"/>
        </w:rPr>
        <w:t>Лидерами были признаны: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- среди городов, являющихся административными центрами субъектов Российской Федерации: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Саранск – 1 место;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Уфу – 1 место;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Тулу - 2 место;</w:t>
      </w:r>
    </w:p>
    <w:p w:rsidR="00A704B0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</w:t>
      </w:r>
      <w:r w:rsidRPr="00822A9D">
        <w:rPr>
          <w:rFonts w:ascii="Times New Roman" w:hAnsi="Times New Roman" w:cs="Times New Roman"/>
          <w:sz w:val="28"/>
          <w:szCs w:val="28"/>
        </w:rPr>
        <w:tab/>
        <w:t xml:space="preserve"> Волгоград  - 3 место;</w:t>
      </w:r>
    </w:p>
    <w:p w:rsidR="00A704B0" w:rsidRPr="00607DAB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- среди городов с населением 100 тысяч человек и более: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Сызрань (Самарская область) – 1 место;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Батайск (Ростовская область) – 2 место;</w:t>
      </w:r>
    </w:p>
    <w:p w:rsidR="00A704B0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Муром (Владимирская область) – 3 место;</w:t>
      </w:r>
    </w:p>
    <w:p w:rsidR="00A704B0" w:rsidRPr="00607DAB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 xml:space="preserve">- среди городов с населением от 20 тысяч до 100 тысяч человек: 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Ливны (Орловская область) – 1  место;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Кумертау (Республика Башкортостан) – 2  место;</w:t>
      </w:r>
    </w:p>
    <w:p w:rsidR="00A704B0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 xml:space="preserve">город Бронницы (Московская область) - 3  место; </w:t>
      </w:r>
    </w:p>
    <w:p w:rsidR="00A704B0" w:rsidRPr="00607DAB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 xml:space="preserve">- среди городов с населением менее 20 тысяч человек: 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Сельцо (Брянская область) – 1  место;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Красная Яруга (Белгородская область) – 2  место;</w:t>
      </w:r>
    </w:p>
    <w:p w:rsidR="00A704B0" w:rsidRPr="00822A9D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lastRenderedPageBreak/>
        <w:t>город Пласт (Челябинская область) – 2 –е место;</w:t>
      </w:r>
    </w:p>
    <w:p w:rsidR="00A704B0" w:rsidRDefault="00A704B0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9D">
        <w:rPr>
          <w:rFonts w:ascii="Times New Roman" w:hAnsi="Times New Roman" w:cs="Times New Roman"/>
          <w:sz w:val="28"/>
          <w:szCs w:val="28"/>
        </w:rPr>
        <w:t>город Чернянка (Белгородская область) – 3 место.</w:t>
      </w:r>
    </w:p>
    <w:p w:rsidR="00DC10A3" w:rsidRPr="00DC10A3" w:rsidRDefault="00DC10A3" w:rsidP="00A704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4B0" w:rsidRDefault="00DC10A3" w:rsidP="00A70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A704B0">
        <w:rPr>
          <w:rFonts w:ascii="Times New Roman" w:hAnsi="Times New Roman" w:cs="Times New Roman"/>
          <w:sz w:val="28"/>
          <w:szCs w:val="28"/>
        </w:rPr>
        <w:t>ряд городов</w:t>
      </w:r>
      <w:r>
        <w:rPr>
          <w:rFonts w:ascii="Times New Roman" w:hAnsi="Times New Roman" w:cs="Times New Roman"/>
          <w:sz w:val="28"/>
          <w:szCs w:val="28"/>
        </w:rPr>
        <w:t xml:space="preserve"> отмечен призами и дипломами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0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637C" w:rsidRPr="005C637C" w:rsidRDefault="00060041" w:rsidP="005C637C">
      <w:pPr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37C" w:rsidRPr="005C637C">
        <w:rPr>
          <w:rFonts w:ascii="Times New Roman" w:hAnsi="Times New Roman" w:cs="Times New Roman"/>
          <w:sz w:val="28"/>
          <w:szCs w:val="28"/>
        </w:rPr>
        <w:t xml:space="preserve">ород </w:t>
      </w:r>
      <w:r w:rsidR="005C637C" w:rsidRPr="005C637C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5C637C" w:rsidRPr="005C637C">
        <w:rPr>
          <w:rFonts w:ascii="Times New Roman" w:hAnsi="Times New Roman" w:cs="Times New Roman"/>
          <w:sz w:val="28"/>
          <w:szCs w:val="28"/>
        </w:rPr>
        <w:t xml:space="preserve">, набравший </w:t>
      </w:r>
      <w:r w:rsidR="005C637C" w:rsidRPr="005C637C">
        <w:rPr>
          <w:rFonts w:ascii="Times New Roman" w:hAnsi="Times New Roman"/>
          <w:sz w:val="28"/>
          <w:szCs w:val="28"/>
        </w:rPr>
        <w:t xml:space="preserve">наибольшее число голосов по результатам детской экспертизы материалов акции «А у нас во дворе»,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 w:cs="Times New Roman"/>
          <w:sz w:val="28"/>
          <w:szCs w:val="28"/>
        </w:rPr>
        <w:t xml:space="preserve"> призом и дипломом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7C" w:rsidRPr="005C637C" w:rsidRDefault="00060041" w:rsidP="005C637C">
      <w:pPr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C637C" w:rsidRPr="005C637C">
        <w:rPr>
          <w:rFonts w:ascii="Times New Roman" w:eastAsia="Calibri" w:hAnsi="Times New Roman" w:cs="Times New Roman"/>
          <w:sz w:val="28"/>
          <w:szCs w:val="28"/>
        </w:rPr>
        <w:t xml:space="preserve">ород Таганрог (Ростовская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 w:cs="Times New Roman"/>
          <w:sz w:val="28"/>
          <w:szCs w:val="28"/>
        </w:rPr>
        <w:t xml:space="preserve"> призом и дипломом конкурса за лучшее представление мероприятий конкурса в социальной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7C" w:rsidRPr="005C637C" w:rsidRDefault="00060041" w:rsidP="005C637C">
      <w:pPr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37C" w:rsidRPr="005C637C">
        <w:rPr>
          <w:rFonts w:ascii="Times New Roman" w:hAnsi="Times New Roman" w:cs="Times New Roman"/>
          <w:sz w:val="28"/>
          <w:szCs w:val="28"/>
        </w:rPr>
        <w:t>ород Новороссийск (Краснодарский край) 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 w:cs="Times New Roman"/>
          <w:sz w:val="28"/>
          <w:szCs w:val="28"/>
        </w:rPr>
        <w:t xml:space="preserve"> призом и дипломом конкурса за лучшее представление выполнения конкурсных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7C" w:rsidRPr="005C637C" w:rsidRDefault="00060041" w:rsidP="005C637C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 Саки (Республика Крым)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/>
          <w:sz w:val="28"/>
          <w:szCs w:val="28"/>
        </w:rPr>
        <w:t xml:space="preserve"> призом и дипломом конкурса за активизацию городских ресурсов в интересах детей</w:t>
      </w:r>
      <w:r>
        <w:rPr>
          <w:rFonts w:ascii="Times New Roman" w:hAnsi="Times New Roman"/>
          <w:sz w:val="28"/>
          <w:szCs w:val="28"/>
        </w:rPr>
        <w:t>;</w:t>
      </w:r>
    </w:p>
    <w:p w:rsidR="005C637C" w:rsidRPr="005C637C" w:rsidRDefault="00060041" w:rsidP="005C637C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 Красноуфимск (Свердловская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/>
          <w:sz w:val="28"/>
          <w:szCs w:val="28"/>
        </w:rPr>
        <w:t xml:space="preserve"> призом и дипломом конкурса за творческий подход в организации работы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5C637C" w:rsidRPr="005C637C" w:rsidRDefault="00060041" w:rsidP="005C637C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 Торжок (Тверская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/>
          <w:sz w:val="28"/>
          <w:szCs w:val="28"/>
        </w:rPr>
        <w:t xml:space="preserve"> призом и дипломом конкурса за активизацию деятельности СМИ по пропаганде семейных ценностей</w:t>
      </w:r>
      <w:r w:rsidR="00DC10A3">
        <w:rPr>
          <w:rFonts w:ascii="Times New Roman" w:hAnsi="Times New Roman"/>
          <w:sz w:val="28"/>
          <w:szCs w:val="28"/>
        </w:rPr>
        <w:t>;</w:t>
      </w:r>
    </w:p>
    <w:p w:rsidR="005C637C" w:rsidRPr="005C637C" w:rsidRDefault="00DC10A3" w:rsidP="005C637C">
      <w:pPr>
        <w:spacing w:after="0" w:line="340" w:lineRule="exact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орода Хабаровск и </w:t>
      </w:r>
      <w:proofErr w:type="spellStart"/>
      <w:r w:rsidR="005C637C" w:rsidRPr="005C637C">
        <w:rPr>
          <w:rFonts w:ascii="Times New Roman" w:hAnsi="Times New Roman"/>
          <w:sz w:val="28"/>
          <w:szCs w:val="28"/>
        </w:rPr>
        <w:t>Снежинск</w:t>
      </w:r>
      <w:proofErr w:type="spellEnd"/>
      <w:r w:rsidR="005C637C" w:rsidRPr="005C637C">
        <w:rPr>
          <w:rFonts w:ascii="Times New Roman" w:hAnsi="Times New Roman"/>
          <w:sz w:val="28"/>
          <w:szCs w:val="28"/>
        </w:rPr>
        <w:t xml:space="preserve"> (Челябинская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ждены</w:t>
      </w:r>
      <w:r w:rsidR="005C637C" w:rsidRPr="005C637C">
        <w:rPr>
          <w:rFonts w:ascii="Times New Roman" w:hAnsi="Times New Roman"/>
          <w:sz w:val="28"/>
          <w:szCs w:val="28"/>
        </w:rPr>
        <w:t xml:space="preserve">  дипломами Федерального проекта «Крепкая семья» ВПП Единая Россия за укрепление традиционных семейных ценностей</w:t>
      </w:r>
      <w:r>
        <w:rPr>
          <w:rFonts w:ascii="Times New Roman" w:hAnsi="Times New Roman"/>
          <w:sz w:val="28"/>
          <w:szCs w:val="28"/>
        </w:rPr>
        <w:t>;</w:t>
      </w:r>
      <w:r w:rsidR="005C637C" w:rsidRPr="005C637C">
        <w:rPr>
          <w:rFonts w:ascii="Calibri" w:eastAsia="Calibri" w:hAnsi="Calibri" w:cs="Times New Roman"/>
        </w:rPr>
        <w:t xml:space="preserve"> </w:t>
      </w:r>
    </w:p>
    <w:p w:rsidR="005C637C" w:rsidRPr="005C637C" w:rsidRDefault="00DC10A3" w:rsidP="005C637C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орода </w:t>
      </w:r>
      <w:proofErr w:type="spellStart"/>
      <w:r w:rsidR="005C637C" w:rsidRPr="005C637C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5C637C" w:rsidRPr="005C637C">
        <w:rPr>
          <w:rFonts w:ascii="Times New Roman" w:hAnsi="Times New Roman"/>
          <w:sz w:val="28"/>
          <w:szCs w:val="28"/>
        </w:rPr>
        <w:t xml:space="preserve"> (Камчатский край), Южно-Сахалинск и Невельск (Сахалинская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ждены</w:t>
      </w:r>
      <w:r w:rsidR="005C637C" w:rsidRPr="005C637C">
        <w:rPr>
          <w:rFonts w:ascii="Times New Roman" w:hAnsi="Times New Roman"/>
          <w:sz w:val="28"/>
          <w:szCs w:val="28"/>
        </w:rPr>
        <w:t xml:space="preserve"> дипломами Агентства по развитию человеческого капитала на Дальнем Востоке за активное участие в конкурсе городов России «Город детей – город семей»</w:t>
      </w:r>
      <w:r>
        <w:rPr>
          <w:rFonts w:ascii="Times New Roman" w:hAnsi="Times New Roman"/>
          <w:sz w:val="28"/>
          <w:szCs w:val="28"/>
        </w:rPr>
        <w:t>;</w:t>
      </w:r>
    </w:p>
    <w:p w:rsidR="005C637C" w:rsidRPr="005C637C" w:rsidRDefault="00DC10A3" w:rsidP="005C637C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 Ступино (Московская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/>
          <w:sz w:val="28"/>
          <w:szCs w:val="28"/>
        </w:rPr>
        <w:t xml:space="preserve"> дипломом благотворительного фонда «Абсолют-помощь» за эффективное решение проблем детского неблагополучия</w:t>
      </w:r>
      <w:r>
        <w:rPr>
          <w:rFonts w:ascii="Times New Roman" w:hAnsi="Times New Roman"/>
          <w:sz w:val="28"/>
          <w:szCs w:val="28"/>
        </w:rPr>
        <w:t>;</w:t>
      </w:r>
    </w:p>
    <w:p w:rsidR="00A704B0" w:rsidRPr="00607DAB" w:rsidRDefault="00DC10A3" w:rsidP="005C637C">
      <w:pPr>
        <w:spacing w:after="0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5C637C" w:rsidRPr="005C637C">
        <w:rPr>
          <w:rFonts w:ascii="Times New Roman" w:hAnsi="Times New Roman"/>
          <w:sz w:val="28"/>
          <w:szCs w:val="28"/>
        </w:rPr>
        <w:t xml:space="preserve">ород Новоуральск (Свердловская область) </w:t>
      </w:r>
      <w:r w:rsidR="005C637C" w:rsidRPr="005C637C">
        <w:rPr>
          <w:rFonts w:ascii="Times New Roman" w:hAnsi="Times New Roman" w:cs="Times New Roman"/>
          <w:sz w:val="28"/>
          <w:szCs w:val="28"/>
        </w:rPr>
        <w:t>награ</w:t>
      </w:r>
      <w:r w:rsidR="005C637C">
        <w:rPr>
          <w:rFonts w:ascii="Times New Roman" w:hAnsi="Times New Roman" w:cs="Times New Roman"/>
          <w:sz w:val="28"/>
          <w:szCs w:val="28"/>
        </w:rPr>
        <w:t>жден</w:t>
      </w:r>
      <w:r w:rsidR="005C637C" w:rsidRPr="005C637C">
        <w:rPr>
          <w:rFonts w:ascii="Times New Roman" w:hAnsi="Times New Roman"/>
          <w:sz w:val="28"/>
          <w:szCs w:val="28"/>
        </w:rPr>
        <w:t xml:space="preserve"> дипломом Творческого объединения «ЮНПРЕСС» за привлечение детей к преодолению трудных жизненных ситуаций у сверстников.</w:t>
      </w:r>
    </w:p>
    <w:p w:rsidR="00A704B0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целом Конкурс способствует объединению усилий всех участников системы социальной поддержки детей и защиты их прав, влияющих на принятие ключевых решений в сфере семейной политики, профилактики и преодоления социального сиротства, предупреждения правонарушений несовершеннолетних. </w:t>
      </w:r>
    </w:p>
    <w:p w:rsidR="000E4A25" w:rsidRDefault="000E4A25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C637C" w:rsidRDefault="005C637C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C637C" w:rsidRPr="0007159C" w:rsidRDefault="005C637C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Позитивный опыт организации отдельных направлений деятельности в городах – участниках конкурса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По результатам проведенного Конкурса можно отметить позитивный опыт организации отдельных направлений деятельности в городах – участниках конкурса.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Так,  в г. Архангельске работа по раннему выявлению, реабилитации семей группы риска по лишению родительских прав, и оказания своевременной помощи в сохранении семьи для ребенка ведется на межведомственной, междисциплинарной основе, в тесном взаимодействии со службами системы профилактики. Комплексный подход к выявлению неблагополучных семей и психологического дискомфорта ребенка, выбор методов, технологий помощи строится на основе постоянных мониторинговых, диагностических и научных исследований.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Инновационным методом выявления детского и семейного неблагополучия в городе является  Единая форма оценки ребенка и семьи (ЕФОРС), которая позволяет на ранних этапах предотвращать жестокость по отношению к ребенку в семье и школе, оперативно, определять маршрут сопровождения несовершеннолетнего и семьи.  Работа по профилактике семейного неблагополучия и раннего социального сиротства проводится в рамках советов по профилактике социального сиротства в территориальных округах города (далее - окружные советы) с участием представителей всех органов системы профилактики и правоохранительных органов.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Деятельность окружных советов направлена на профилактику семейного неблагополучия, социального сиротства,  раннее выявление семей и детей группы риска, своевременное оказание психолого-педагогической помощи, принятие экстренных мер, оперативных решений, контроль за результатами работы,  создание схемы единого сопровождения семьи и ребенка, объединение усилий по организации индивидуальной профилактической работы с семьями и детьми группы риска по социальному сиротству, информирование населения об учреждениях, занимающихся вопросами укрепления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института семьи в г. Архангельске.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Действенной мерой оперативной  помощи ребенку и семье является командная работа  специалистов органов системы профилактики на основе ежедневного анализа оперативной информации УМВД России по городу Архангельску по фактам  правонарушений и преступлений  против несовершеннолетних согласно алгоритму межведомственного взаимодействия, утвержденному 05.03.2015 городским координационным 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советом по предупреждению правонарушений и преступлений несовершеннолетних.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 сентября 2014 года в Архангельске действует городская мобильная межведомственная рабочая группа по работе с наиболее сложными случаями неблагополучия конкретного ребенка (суицидальные попытки, самовольные уходы, детско-родительские конфликты и др.)  с участием всех заинтересованных органов системы профилактики.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г. Кумертау </w:t>
      </w:r>
      <w:r w:rsidRPr="00071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реализуются социальные проекты,</w:t>
      </w: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реализован широкий план мероприятий в области семейной политики и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детствосбережения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эффективно действует система работы по профилактике семейного неблагополучия. </w:t>
      </w:r>
      <w:r w:rsidRPr="0007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социального проектирования, обучение социальному проектированию и в целом проектной деятельности – это одна из приоритетных управленческих задач  администрации города.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городе реализуются инновационные социальные проекты, а также проекты, направленные на работу с семьями, воспитывающими детей-инвалидов. Одним из примеров реализации проектной деятельности является проект «Зернышки добра». Ориентированный на детей в возрасте от трех до восьми лет,  проект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основан на мультфильмах советского периода и воспитывает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добро, сострадание, внимание, заботу о родных и близких. Город-участник выделяется креативной и красочной подачей материала.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Качественный анализ структуры и причин детского неблагополучия, а также результатов реализации социальной политики в городе представил г. Батайск. В результате принимаемых практических мер число ежегодно выявленных и учтенных детей, оставшихся без попечения родителей, за рассматриваемый период снизилось на 35 человек или почти в 2,5 раза. Таким образом, за 2016 год более чем вдвое снизился риск для ребенка остаться без попечения родителей.  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Интересный опыт повышения интереса граждан к различным формам семейного устройства детей представил г. Сухой Лог,  где организуются видеотрансляции информации о формах семейного устройства и фотографий детей-сирот и детей, оставшихся без попечения родителей, нуждающихся в семейном устройстве во время проведения общегородских социальных мероприятий: «День матери», фестиваль творчества детей-инвалидов «Мы все можем» и др.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В г. Ливны можно отметить реализацию программы профилактики в семьях, находящихся в социально опасном положении, трудоустройство подростков, развитие института наставничества.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Ярким примером выстраивания межведомственного взаимодействия и  социального партнерства в интересах детей является опыт Тулы, где </w:t>
      </w:r>
      <w:r w:rsidRPr="00071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происшествию, связанному с несовершеннолетними, выстроена работа по выявлению и устранению причин и условий, способствующих противоправному поведению несовершеннолетних.</w:t>
      </w:r>
    </w:p>
    <w:p w:rsidR="00A704B0" w:rsidRPr="0007159C" w:rsidRDefault="00A704B0" w:rsidP="00D46F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46F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Анализ, проведенный по итогам 9 месяцев 2016 года, показал, что в результате межведомственной системной работы по профилактике безнадзорности, беспризорности, различных видов зависимостей, правонарушений, суицидов несовершеннолетних, жестокого обращения с детьми, защите их прав в муниципальном образовании г. Тула продолжает стабилизироваться </w:t>
      </w:r>
      <w:proofErr w:type="gramStart"/>
      <w:r w:rsidRPr="00D46F17">
        <w:rPr>
          <w:rFonts w:ascii="Times New Roman" w:eastAsia="MS Mincho" w:hAnsi="Times New Roman" w:cs="Times New Roman"/>
          <w:sz w:val="28"/>
          <w:szCs w:val="28"/>
          <w:lang w:eastAsia="ru-RU"/>
        </w:rPr>
        <w:t>криминогенная обстановка</w:t>
      </w:r>
      <w:proofErr w:type="gramEnd"/>
      <w:r w:rsidRPr="00D46F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среди несовершеннолетних.</w:t>
      </w:r>
    </w:p>
    <w:p w:rsidR="00A704B0" w:rsidRPr="0007159C" w:rsidRDefault="00A704B0" w:rsidP="00D46F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Как и в некоторых других городах – участниках Конкурса, в г. Саранске активное участие в решении социальных проблем города принимает православная церковь. Особое внимание Саранской епархии Мордовской митрополии уделяется социально-благотворительной деятельности среди многодетных и малообеспеченных семей. На приходах епархии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организованы и работают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пункты сбора и распределения вещевой и продуктовой  помощи для многодетных и малоимущих семей. Ряд приходов проводит регулярные благотворительные акции по сбору одежды, школьных принадлежностей, средств личной гигиены, бытовой химии, а также денежных средств, оказывает помощь в уборке жилых помещений и уходу за детьми для многодетных малоимущих, а также неполных семей, оказавшихся в трудной жизненной ситуации.</w:t>
      </w:r>
    </w:p>
    <w:p w:rsidR="00A704B0" w:rsidRPr="0007159C" w:rsidRDefault="00A704B0" w:rsidP="00D46F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При молодежном отделе епархии действует добровольческая группа «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Доброделание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». Одно из направлений деятельности группы – помощь семьям, находящимся в трудной жизненной ситуации: продуктами питания, одеждой, игрушками, необходимыми вещами, присмотром за детьми, инвалидами.</w:t>
      </w:r>
    </w:p>
    <w:p w:rsidR="00A704B0" w:rsidRPr="0007159C" w:rsidRDefault="00A704B0" w:rsidP="00D46F1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Социальное взаимодействие - один из основных факторов, влияющих на успешное преодоление кризисных ситуаций в семье. В то же время многодетные и неполные семьи зачастую не могут обеспечить детям возможность полноценного летнего отдыха с массой новых положительных впечатлений и широким кругом общения со сверстниками. Для преодоления данной проблемы Саранской епархией проводятся благотворительные смены для детей, находящихся в трудной жизненной ситуации, и детей из многодетных семей в детские и семейные лагеря.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Интересна практика г. Гая Оренбургской области по организации участия детей и молодежи в принятии решений,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Детская общественная Правовая Палата (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ДоПП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действует в Гайском городском округе с сентября 2008 года. Палата не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юридическим лицом и действует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как совещательный, коллегиальный и консультативный орган, в рамках которого осуществляется координация вопросов, затрагивающих интересы ребенка, между органами государственной власти и юными гражданами, мониторинг соблюдения прав детей. Членом Палаты может являться каждый, кто не равнодушен к правам и обязанностям несовершеннолетних.</w:t>
      </w:r>
    </w:p>
    <w:p w:rsidR="00A704B0" w:rsidRPr="0007159C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Ежегодно проводятся выборы в детскую общественную Правовую Палату. Члены Палаты избираются сроком на один год. Кандидатуры членов детской общественной Правовой Палаты выбираются на открытом совете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ДоПП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после изучения анкет выбирается председатель </w:t>
      </w:r>
      <w:proofErr w:type="spell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ДоПП</w:t>
      </w:r>
      <w:proofErr w:type="spell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который затем представляет Гайский городской округ на областном сборе Детской общественной Правовой Палаты. </w:t>
      </w:r>
    </w:p>
    <w:p w:rsidR="00A704B0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Члены детской общественной палаты активно принимают участие в месячнике правовых знаний,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организовывают и участвуют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следующих мероприятиях: «Пост прав ребенка», областной детский референдум, </w:t>
      </w:r>
      <w:proofErr w:type="gramStart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интернет-уроки</w:t>
      </w:r>
      <w:proofErr w:type="gramEnd"/>
      <w:r w:rsidRPr="0007159C">
        <w:rPr>
          <w:rFonts w:ascii="Times New Roman" w:eastAsia="MS Mincho" w:hAnsi="Times New Roman" w:cs="Times New Roman"/>
          <w:sz w:val="28"/>
          <w:szCs w:val="28"/>
          <w:lang w:eastAsia="ru-RU"/>
        </w:rPr>
        <w:t>, посвященные правовой тематике, всемирный «День памяти жертв в ДТП».</w:t>
      </w:r>
    </w:p>
    <w:p w:rsidR="00A704B0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04B0" w:rsidRDefault="005212B7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основе представленных отчетных материалов организаторы и эксперты отметили направления работы, требующие внимания в практической деятельности и в отчетах.</w:t>
      </w:r>
    </w:p>
    <w:p w:rsidR="00A704B0" w:rsidRPr="004B463D" w:rsidRDefault="00A704B0" w:rsidP="00322DF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B463D">
        <w:rPr>
          <w:rFonts w:ascii="Times New Roman" w:eastAsia="MS Mincho" w:hAnsi="Times New Roman" w:cs="Times New Roman"/>
          <w:sz w:val="28"/>
          <w:szCs w:val="28"/>
          <w:lang w:eastAsia="ru-RU"/>
        </w:rPr>
        <w:t>Совершенствование программ помощи семьям в трудной жизненной ситуации.</w:t>
      </w:r>
    </w:p>
    <w:p w:rsidR="005212B7" w:rsidRDefault="0083097F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ении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</w:t>
      </w:r>
      <w:r w:rsidR="005212B7">
        <w:rPr>
          <w:rFonts w:ascii="Times New Roman" w:eastAsia="MS Mincho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="005212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оказанию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помощи семьям с детьми по выходу из трудной жизненной ситуации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4B46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необходимо </w:t>
      </w:r>
      <w:r w:rsidR="005212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акцентировать внимание на 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активное включение </w:t>
      </w:r>
      <w:r w:rsidR="005212B7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родителей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5212B7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B463D">
        <w:rPr>
          <w:rFonts w:ascii="Times New Roman" w:eastAsia="MS Mincho" w:hAnsi="Times New Roman" w:cs="Times New Roman"/>
          <w:sz w:val="28"/>
          <w:szCs w:val="28"/>
          <w:lang w:eastAsia="ru-RU"/>
        </w:rPr>
        <w:t>ближайшего окружения</w:t>
      </w:r>
      <w:r w:rsidR="005212B7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семьи </w:t>
      </w:r>
      <w:r w:rsidR="005212B7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322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преодоление</w:t>
      </w:r>
      <w:r w:rsidR="004B46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212B7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трудной жизненной ситуации.</w:t>
      </w:r>
      <w:r w:rsidR="005212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A704B0" w:rsidRPr="004B463D" w:rsidRDefault="00A704B0" w:rsidP="004B463D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B463D">
        <w:rPr>
          <w:rFonts w:ascii="Times New Roman" w:eastAsia="MS Mincho" w:hAnsi="Times New Roman" w:cs="Times New Roman"/>
          <w:sz w:val="28"/>
          <w:szCs w:val="28"/>
          <w:lang w:eastAsia="ru-RU"/>
        </w:rPr>
        <w:t>Активизация работы по восстановлению в родительских правах и сопровождение восстановленных семей.</w:t>
      </w:r>
    </w:p>
    <w:p w:rsidR="0022670C" w:rsidRDefault="004B463D" w:rsidP="00BE2FC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сохранения </w:t>
      </w:r>
      <w:r w:rsidR="00F43289">
        <w:rPr>
          <w:rFonts w:ascii="Times New Roman" w:eastAsia="MS Mincho" w:hAnsi="Times New Roman" w:cs="Times New Roman"/>
          <w:sz w:val="28"/>
          <w:szCs w:val="28"/>
          <w:lang w:eastAsia="ru-RU"/>
        </w:rPr>
        <w:t>родной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ребенка</w:t>
      </w:r>
      <w:r w:rsidR="00D73B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необходимо продолжать работу по сокращению 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числа </w:t>
      </w:r>
      <w:r w:rsidR="00D73B02">
        <w:rPr>
          <w:rFonts w:ascii="Times New Roman" w:eastAsia="MS Mincho" w:hAnsi="Times New Roman" w:cs="Times New Roman"/>
          <w:sz w:val="28"/>
          <w:szCs w:val="28"/>
          <w:lang w:eastAsia="ru-RU"/>
        </w:rPr>
        <w:t>лишений родителей родительских прав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, так как  лишение родительских прав остается основной причиной социального сиротства. К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>омплексн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ый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подход к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проблем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заключается в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A11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организации профилактики 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>семейного неблагополучия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создани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условий для 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восстановления 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полноценной жизни </w:t>
      </w:r>
      <w:r w:rsidR="00BA111C">
        <w:rPr>
          <w:rFonts w:ascii="Times New Roman" w:eastAsia="MS Mincho" w:hAnsi="Times New Roman" w:cs="Times New Roman"/>
          <w:sz w:val="28"/>
          <w:szCs w:val="28"/>
          <w:lang w:eastAsia="ru-RU"/>
        </w:rPr>
        <w:t>ребенка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4FF">
        <w:rPr>
          <w:rFonts w:ascii="Times New Roman" w:eastAsia="MS Mincho" w:hAnsi="Times New Roman" w:cs="Times New Roman"/>
          <w:sz w:val="28"/>
          <w:szCs w:val="28"/>
          <w:lang w:eastAsia="ru-RU"/>
        </w:rPr>
        <w:t>семье</w:t>
      </w:r>
      <w:r w:rsidR="00BE2F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BE2FC9" w:rsidRPr="00BE2F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Вопрос о лишении родительских прав должен рассматриваться в качестве крайней меры </w:t>
      </w:r>
      <w:r w:rsidR="00BE2FC9" w:rsidRPr="00BE2FC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воздействия на родителей, применяемой только в тех случаях, когда иные меры не дали результата.</w:t>
      </w:r>
      <w:r w:rsidR="003334FF" w:rsidRPr="003334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722BBD" w:rsidRDefault="00722BBD" w:rsidP="00BE2FC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Приоритетным направлением в работе с родителями становится </w:t>
      </w:r>
      <w:r w:rsidR="002267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восстановление в родительских правах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в</w:t>
      </w:r>
      <w:r w:rsidRPr="00722BBD">
        <w:rPr>
          <w:rFonts w:ascii="Times New Roman" w:eastAsia="MS Mincho" w:hAnsi="Times New Roman" w:cs="Times New Roman"/>
          <w:sz w:val="28"/>
          <w:szCs w:val="28"/>
          <w:lang w:eastAsia="ru-RU"/>
        </w:rPr>
        <w:t>озвращение воспитанника детского дома в кровную семью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Этот </w:t>
      </w:r>
      <w:r w:rsidRPr="00722BBD">
        <w:rPr>
          <w:rFonts w:ascii="Times New Roman" w:eastAsia="MS Mincho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требует </w:t>
      </w:r>
      <w:r w:rsidRPr="00722BBD">
        <w:rPr>
          <w:rFonts w:ascii="Times New Roman" w:eastAsia="MS Mincho" w:hAnsi="Times New Roman" w:cs="Times New Roman"/>
          <w:sz w:val="28"/>
          <w:szCs w:val="28"/>
          <w:lang w:eastAsia="ru-RU"/>
        </w:rPr>
        <w:t>восстановлени</w:t>
      </w:r>
      <w:r w:rsidR="001B56B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722B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детско-родительских отношений, оценк</w:t>
      </w:r>
      <w:r w:rsidR="001B56B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722B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возможностей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родителей</w:t>
      </w:r>
      <w:r w:rsidRPr="00722B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выполнять родительские обязанности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1B56B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поддержки родителей 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</w:t>
      </w:r>
      <w:r w:rsidR="001B56B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36897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="00C368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изменением образа жизни родителей и их отношени</w:t>
      </w:r>
      <w:r w:rsidR="001B56B4">
        <w:rPr>
          <w:rFonts w:ascii="Times New Roman" w:eastAsia="MS Mincho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="00C368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воспитанию ребенка.</w:t>
      </w:r>
    </w:p>
    <w:p w:rsidR="005212B7" w:rsidRPr="00BE2FC9" w:rsidRDefault="005212B7" w:rsidP="00BE2FC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E2FC9">
        <w:rPr>
          <w:rFonts w:ascii="Times New Roman" w:eastAsia="MS Mincho" w:hAnsi="Times New Roman" w:cs="Times New Roman"/>
          <w:sz w:val="28"/>
          <w:szCs w:val="28"/>
          <w:lang w:eastAsia="ru-RU"/>
        </w:rPr>
        <w:t>Расширение программ помощи детям, имевшим опыт конфликта с законом.</w:t>
      </w:r>
    </w:p>
    <w:p w:rsidR="005212B7" w:rsidRPr="00A95C34" w:rsidRDefault="005212B7" w:rsidP="005212B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BE2FC9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рактически во всех городах 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среди групп </w:t>
      </w:r>
      <w:r w:rsidR="00BE2FC9">
        <w:rPr>
          <w:rFonts w:ascii="Times New Roman" w:eastAsia="MS Mincho" w:hAnsi="Times New Roman" w:cs="Times New Roman"/>
          <w:sz w:val="28"/>
          <w:szCs w:val="28"/>
          <w:lang w:eastAsia="ru-RU"/>
        </w:rPr>
        <w:t>детей, находящихся в трудной жизненной ситуации,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наименьшее внимание уделяется детям, </w:t>
      </w:r>
      <w:r w:rsidR="00BE2F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имеющим или 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имевшим опыт конфликта с законом. </w:t>
      </w:r>
      <w:r w:rsidR="00CF6F72">
        <w:rPr>
          <w:rFonts w:ascii="Times New Roman" w:eastAsia="MS Mincho" w:hAnsi="Times New Roman" w:cs="Times New Roman"/>
          <w:sz w:val="28"/>
          <w:szCs w:val="28"/>
          <w:lang w:eastAsia="ru-RU"/>
        </w:rPr>
        <w:t>Необходимо с учетом местных особенностей искать формы</w:t>
      </w:r>
      <w:r w:rsidR="00CF6F72" w:rsidRPr="00CF6F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снижения уровня правонарушений несовершеннолетних</w:t>
      </w:r>
      <w:r w:rsidR="00CF6F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BC097F">
        <w:rPr>
          <w:rFonts w:ascii="Times New Roman" w:eastAsia="MS Mincho" w:hAnsi="Times New Roman" w:cs="Times New Roman"/>
          <w:sz w:val="28"/>
          <w:szCs w:val="28"/>
          <w:lang w:eastAsia="ru-RU"/>
        </w:rPr>
        <w:t>изменения каждодневного социального окружения детей, склонных к правонарушениям,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097F">
        <w:rPr>
          <w:rFonts w:ascii="Times New Roman" w:eastAsia="MS Mincho" w:hAnsi="Times New Roman" w:cs="Times New Roman"/>
          <w:sz w:val="28"/>
          <w:szCs w:val="28"/>
          <w:lang w:eastAsia="ru-RU"/>
        </w:rPr>
        <w:t>вовлекая</w:t>
      </w:r>
      <w:r w:rsidR="00CF6F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r w:rsidR="00BC097F">
        <w:rPr>
          <w:rFonts w:ascii="Times New Roman" w:eastAsia="MS Mincho" w:hAnsi="Times New Roman" w:cs="Times New Roman"/>
          <w:sz w:val="28"/>
          <w:szCs w:val="28"/>
          <w:lang w:eastAsia="ru-RU"/>
        </w:rPr>
        <w:t>х в</w:t>
      </w:r>
      <w:r w:rsidR="00CF6F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различные продуктивные формы организации досуга.</w:t>
      </w:r>
      <w:r w:rsidR="00CF6F72" w:rsidRPr="00CF6F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="00CF6F72">
        <w:rPr>
          <w:rFonts w:ascii="Times New Roman" w:eastAsia="MS Mincho" w:hAnsi="Times New Roman" w:cs="Times New Roman"/>
          <w:sz w:val="28"/>
          <w:szCs w:val="28"/>
          <w:lang w:eastAsia="ru-RU"/>
        </w:rPr>
        <w:t>работе с данной категорией несовершеннолетних</w:t>
      </w:r>
      <w:r w:rsidR="00764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также требуются продуманные меры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сопровождению </w:t>
      </w:r>
      <w:r w:rsidR="00764DFA">
        <w:rPr>
          <w:rFonts w:ascii="Times New Roman" w:eastAsia="MS Mincho" w:hAnsi="Times New Roman" w:cs="Times New Roman"/>
          <w:sz w:val="28"/>
          <w:szCs w:val="28"/>
          <w:lang w:eastAsia="ru-RU"/>
        </w:rPr>
        <w:t>несовершеннолетних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, вышедших из мест лишения свободы, содействи</w:t>
      </w:r>
      <w:r w:rsidR="00764DFA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их возвращению к обучению или трудоустройству.</w:t>
      </w:r>
    </w:p>
    <w:p w:rsidR="00664D35" w:rsidRDefault="00664D35" w:rsidP="00664D3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4D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Развитие социального партнерства и привлечение НКО к оказанию социальных услуг населению. </w:t>
      </w:r>
    </w:p>
    <w:p w:rsidR="00764DFA" w:rsidRPr="00764DFA" w:rsidRDefault="00764DFA" w:rsidP="00764DFA">
      <w:pPr>
        <w:pStyle w:val="a5"/>
        <w:spacing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Растет количество городов, в которых организации третьего сектора и корпоративные партнеры  включаются в программы помощи семьям и детям, находящимися в трудной жизненной ситуации, профилактики жестокого обращения с детьми, семейного устройство детей-сирот, содействия интеграции детей, находящихся в трудной жизненной ситуации, в среду сверстников.</w:t>
      </w:r>
      <w:proofErr w:type="gramEnd"/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Наиболее ярким примером социального партнерства в интересах детей является г. Череповец, в котором партнерские организации включаются в городские программы уже на этапе планирования</w:t>
      </w:r>
    </w:p>
    <w:p w:rsidR="00764DFA" w:rsidRDefault="00664D35" w:rsidP="005212B7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Вовлечение социально ориентированных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НКО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оказание услуг социально незащищенным группам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детей представляется 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перспективной темой в диверсификации социальной сферы и расширении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ее 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ресурсных возможностей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704B0" w:rsidRPr="00664D35" w:rsidRDefault="00A704B0" w:rsidP="005212B7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D35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 волонтерского движения.</w:t>
      </w:r>
    </w:p>
    <w:p w:rsidR="00F43289" w:rsidRDefault="00664D35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Разви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волонтерс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движени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BC097F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необходимо привлекать к участию </w:t>
      </w:r>
      <w:r w:rsidR="00BC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нем 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волонтеров </w:t>
      </w:r>
      <w:proofErr w:type="gramStart"/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позитивн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proofErr w:type="gramEnd"/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целеполагани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>ем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направленным на социальную 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поддержку детей и семей, нуждающихся в помощи,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не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кампани</w:t>
      </w:r>
      <w:r w:rsidR="0083097F">
        <w:rPr>
          <w:rFonts w:ascii="Times New Roman" w:eastAsia="MS Mincho" w:hAnsi="Times New Roman" w:cs="Times New Roman"/>
          <w:sz w:val="28"/>
          <w:szCs w:val="28"/>
          <w:lang w:eastAsia="ru-RU"/>
        </w:rPr>
        <w:t>ями</w:t>
      </w:r>
      <w:r w:rsidR="00F432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«против чего-либо». </w:t>
      </w:r>
    </w:p>
    <w:p w:rsidR="00A704B0" w:rsidRDefault="00664D35" w:rsidP="00A704B0">
      <w:pPr>
        <w:spacing w:after="0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ак</w:t>
      </w:r>
      <w:r w:rsidR="005212B7">
        <w:rPr>
          <w:rFonts w:ascii="Times New Roman" w:eastAsia="MS Mincho" w:hAnsi="Times New Roman" w:cs="Times New Roman"/>
          <w:sz w:val="28"/>
          <w:szCs w:val="28"/>
          <w:lang w:eastAsia="ru-RU"/>
        </w:rPr>
        <w:t>ой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, как наставничество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должно «профессионализироваться» и включать в себя программы отбора и подготовки потенциальных наставников с тем, чтобы в наставничество пришл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A704B0"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мотивированны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профессионально подготовленны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люди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способны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стать значимым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взрослым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 жизни воспитанника </w:t>
      </w:r>
      <w:proofErr w:type="spellStart"/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интернатного</w:t>
      </w:r>
      <w:proofErr w:type="spellEnd"/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учреждения или ребенка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находящегося</w:t>
      </w:r>
      <w:r w:rsidR="00A704B0" w:rsidRPr="00A95C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 конфликте с законом.</w:t>
      </w:r>
    </w:p>
    <w:p w:rsidR="00A704B0" w:rsidRPr="00664D35" w:rsidRDefault="00A704B0" w:rsidP="005212B7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D35">
        <w:rPr>
          <w:rFonts w:ascii="Times New Roman" w:eastAsia="MS Mincho" w:hAnsi="Times New Roman" w:cs="Times New Roman"/>
          <w:sz w:val="28"/>
          <w:szCs w:val="28"/>
          <w:lang w:eastAsia="ru-RU"/>
        </w:rPr>
        <w:t>Расширение участия детей в принятии решений.</w:t>
      </w:r>
    </w:p>
    <w:p w:rsidR="00A704B0" w:rsidRPr="00A95C34" w:rsidRDefault="00A704B0" w:rsidP="00A704B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="00664D35">
        <w:rPr>
          <w:rFonts w:ascii="Times New Roman" w:eastAsia="MS Mincho" w:hAnsi="Times New Roman" w:cs="Times New Roman"/>
          <w:sz w:val="28"/>
          <w:szCs w:val="28"/>
          <w:lang w:eastAsia="ru-RU"/>
        </w:rPr>
        <w:t>аметился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прогресс в реализации участия детей в защите своих прав и принятии решений, касающихся их жизни</w:t>
      </w:r>
      <w:r w:rsidR="00664D35">
        <w:rPr>
          <w:rFonts w:ascii="Times New Roman" w:eastAsia="MS Mincho" w:hAnsi="Times New Roman" w:cs="Times New Roman"/>
          <w:sz w:val="28"/>
          <w:szCs w:val="28"/>
          <w:lang w:eastAsia="ru-RU"/>
        </w:rPr>
        <w:t>. В работе по этому направлению н</w:t>
      </w:r>
      <w:r w:rsidRPr="00A95C34">
        <w:rPr>
          <w:rFonts w:ascii="Times New Roman" w:eastAsia="MS Mincho" w:hAnsi="Times New Roman" w:cs="Times New Roman"/>
          <w:sz w:val="28"/>
          <w:szCs w:val="28"/>
          <w:lang w:eastAsia="ru-RU"/>
        </w:rPr>
        <w:t>аиболее сложным остается вопрос вовлечения социально уязвимых групп детей в процесс участия и принятия решений.</w:t>
      </w:r>
      <w:r w:rsidR="0075759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рамках конкурса городов наиболее предпочтительным представляется </w:t>
      </w:r>
      <w:r w:rsidR="0075759A" w:rsidRPr="0075759A">
        <w:rPr>
          <w:rFonts w:ascii="Times New Roman" w:eastAsia="MS Mincho" w:hAnsi="Times New Roman" w:cs="Times New Roman"/>
          <w:sz w:val="28"/>
          <w:szCs w:val="28"/>
          <w:lang w:eastAsia="ru-RU"/>
        </w:rPr>
        <w:t>участие детей в формировании городского пространства</w:t>
      </w:r>
      <w:r w:rsidR="0075759A">
        <w:rPr>
          <w:rFonts w:ascii="Times New Roman" w:eastAsia="MS Mincho" w:hAnsi="Times New Roman" w:cs="Times New Roman"/>
          <w:sz w:val="28"/>
          <w:szCs w:val="28"/>
          <w:lang w:eastAsia="ru-RU"/>
        </w:rPr>
        <w:t>, удобного и безопасного для детей.</w:t>
      </w:r>
    </w:p>
    <w:p w:rsidR="00AD0020" w:rsidRDefault="00AD0020"/>
    <w:sectPr w:rsidR="00AD00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A" w:rsidRDefault="00A6744A" w:rsidP="000E4A25">
      <w:pPr>
        <w:spacing w:after="0" w:line="240" w:lineRule="auto"/>
      </w:pPr>
      <w:r>
        <w:separator/>
      </w:r>
    </w:p>
  </w:endnote>
  <w:endnote w:type="continuationSeparator" w:id="0">
    <w:p w:rsidR="00A6744A" w:rsidRDefault="00A6744A" w:rsidP="000E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5945"/>
      <w:docPartObj>
        <w:docPartGallery w:val="Page Numbers (Bottom of Page)"/>
        <w:docPartUnique/>
      </w:docPartObj>
    </w:sdtPr>
    <w:sdtEndPr/>
    <w:sdtContent>
      <w:p w:rsidR="000E4A25" w:rsidRDefault="000E4A25">
        <w:pPr>
          <w:pStyle w:val="a8"/>
          <w:jc w:val="center"/>
        </w:pPr>
      </w:p>
      <w:p w:rsidR="000E4A25" w:rsidRDefault="000E4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B4">
          <w:rPr>
            <w:noProof/>
          </w:rPr>
          <w:t>14</w:t>
        </w:r>
        <w:r>
          <w:fldChar w:fldCharType="end"/>
        </w:r>
      </w:p>
    </w:sdtContent>
  </w:sdt>
  <w:p w:rsidR="000E4A25" w:rsidRDefault="000E4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A" w:rsidRDefault="00A6744A" w:rsidP="000E4A25">
      <w:pPr>
        <w:spacing w:after="0" w:line="240" w:lineRule="auto"/>
      </w:pPr>
      <w:r>
        <w:separator/>
      </w:r>
    </w:p>
  </w:footnote>
  <w:footnote w:type="continuationSeparator" w:id="0">
    <w:p w:rsidR="00A6744A" w:rsidRDefault="00A6744A" w:rsidP="000E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7112"/>
    <w:multiLevelType w:val="hybridMultilevel"/>
    <w:tmpl w:val="0AE6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051E"/>
    <w:multiLevelType w:val="hybridMultilevel"/>
    <w:tmpl w:val="B85C448E"/>
    <w:lvl w:ilvl="0" w:tplc="FBE63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91B88"/>
    <w:multiLevelType w:val="hybridMultilevel"/>
    <w:tmpl w:val="F4B43E58"/>
    <w:lvl w:ilvl="0" w:tplc="3CF61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B0"/>
    <w:rsid w:val="00007F7E"/>
    <w:rsid w:val="00060041"/>
    <w:rsid w:val="000E4A25"/>
    <w:rsid w:val="001140C6"/>
    <w:rsid w:val="001B56B4"/>
    <w:rsid w:val="0022670C"/>
    <w:rsid w:val="00227671"/>
    <w:rsid w:val="00322DFA"/>
    <w:rsid w:val="003334FF"/>
    <w:rsid w:val="003758C5"/>
    <w:rsid w:val="004278D5"/>
    <w:rsid w:val="004B463D"/>
    <w:rsid w:val="005212B7"/>
    <w:rsid w:val="005C637C"/>
    <w:rsid w:val="00607109"/>
    <w:rsid w:val="006471AE"/>
    <w:rsid w:val="00664D35"/>
    <w:rsid w:val="00675985"/>
    <w:rsid w:val="00722BBD"/>
    <w:rsid w:val="0075759A"/>
    <w:rsid w:val="00764DFA"/>
    <w:rsid w:val="00784970"/>
    <w:rsid w:val="0083097F"/>
    <w:rsid w:val="00926018"/>
    <w:rsid w:val="00931C61"/>
    <w:rsid w:val="009A18AB"/>
    <w:rsid w:val="00A6744A"/>
    <w:rsid w:val="00A704B0"/>
    <w:rsid w:val="00AD0020"/>
    <w:rsid w:val="00B25C96"/>
    <w:rsid w:val="00B62DB9"/>
    <w:rsid w:val="00BA111C"/>
    <w:rsid w:val="00BC097F"/>
    <w:rsid w:val="00BE2FC9"/>
    <w:rsid w:val="00C36897"/>
    <w:rsid w:val="00CF6F72"/>
    <w:rsid w:val="00D46F17"/>
    <w:rsid w:val="00D73B02"/>
    <w:rsid w:val="00DC10A3"/>
    <w:rsid w:val="00ED4276"/>
    <w:rsid w:val="00F43289"/>
    <w:rsid w:val="00F52A27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2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A25"/>
  </w:style>
  <w:style w:type="paragraph" w:styleId="a8">
    <w:name w:val="footer"/>
    <w:basedOn w:val="a"/>
    <w:link w:val="a9"/>
    <w:uiPriority w:val="99"/>
    <w:unhideWhenUsed/>
    <w:rsid w:val="000E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2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A25"/>
  </w:style>
  <w:style w:type="paragraph" w:styleId="a8">
    <w:name w:val="footer"/>
    <w:basedOn w:val="a"/>
    <w:link w:val="a9"/>
    <w:uiPriority w:val="99"/>
    <w:unhideWhenUsed/>
    <w:rsid w:val="000E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1993-CF51-4E15-9A10-275D5F3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Захарова Марина Васильевна</cp:lastModifiedBy>
  <cp:revision>20</cp:revision>
  <cp:lastPrinted>2017-01-17T11:26:00Z</cp:lastPrinted>
  <dcterms:created xsi:type="dcterms:W3CDTF">2017-01-16T11:21:00Z</dcterms:created>
  <dcterms:modified xsi:type="dcterms:W3CDTF">2017-01-17T13:43:00Z</dcterms:modified>
</cp:coreProperties>
</file>